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981" w:rsidRPr="00F67145" w:rsidRDefault="005C7981" w:rsidP="00F67145">
      <w:pPr>
        <w:spacing w:after="0"/>
        <w:jc w:val="center"/>
        <w:rPr>
          <w:b/>
        </w:rPr>
      </w:pPr>
    </w:p>
    <w:p w:rsidR="00F67145" w:rsidRPr="00A63849" w:rsidRDefault="00F67145" w:rsidP="00F67145">
      <w:pPr>
        <w:spacing w:after="0"/>
        <w:jc w:val="center"/>
        <w:rPr>
          <w:rFonts w:ascii="Segoe UI" w:hAnsi="Segoe UI" w:cs="Segoe UI"/>
          <w:b/>
          <w:sz w:val="24"/>
          <w:szCs w:val="24"/>
        </w:rPr>
      </w:pPr>
      <w:r w:rsidRPr="00A63849">
        <w:rPr>
          <w:rFonts w:ascii="Segoe UI" w:hAnsi="Segoe UI" w:cs="Segoe UI"/>
          <w:b/>
          <w:sz w:val="24"/>
          <w:szCs w:val="24"/>
        </w:rPr>
        <w:t xml:space="preserve">OWNER’S POLICY OF TITLE INSURANCE </w:t>
      </w:r>
    </w:p>
    <w:p w:rsidR="00F67145" w:rsidRPr="00A63849" w:rsidRDefault="007A7CAA" w:rsidP="00F67145">
      <w:pPr>
        <w:spacing w:after="0"/>
        <w:jc w:val="center"/>
        <w:rPr>
          <w:rFonts w:ascii="Segoe UI" w:hAnsi="Segoe UI" w:cs="Segoe UI"/>
          <w:b/>
          <w:sz w:val="24"/>
          <w:szCs w:val="24"/>
        </w:rPr>
      </w:pPr>
      <w:r w:rsidRPr="00A63849">
        <w:rPr>
          <w:rFonts w:ascii="Segoe UI" w:hAnsi="Segoe UI" w:cs="Segoe UI"/>
          <w:b/>
          <w:sz w:val="24"/>
          <w:szCs w:val="24"/>
        </w:rPr>
        <w:t>T-1</w:t>
      </w:r>
    </w:p>
    <w:p w:rsidR="00F67145" w:rsidRPr="00A63849" w:rsidRDefault="00F67145" w:rsidP="00F67145">
      <w:pPr>
        <w:spacing w:after="0"/>
        <w:jc w:val="center"/>
        <w:rPr>
          <w:rFonts w:ascii="Segoe UI" w:hAnsi="Segoe UI" w:cs="Segoe UI"/>
          <w:b/>
          <w:sz w:val="24"/>
          <w:szCs w:val="24"/>
        </w:rPr>
      </w:pPr>
      <w:r w:rsidRPr="00A63849">
        <w:rPr>
          <w:rFonts w:ascii="Segoe UI" w:hAnsi="Segoe UI" w:cs="Segoe UI"/>
          <w:b/>
          <w:sz w:val="24"/>
          <w:szCs w:val="24"/>
        </w:rPr>
        <w:t>SCHEDULE B</w:t>
      </w:r>
    </w:p>
    <w:p w:rsidR="008A6838" w:rsidRPr="00A63849" w:rsidRDefault="008A6838" w:rsidP="00F67145">
      <w:pPr>
        <w:spacing w:after="0"/>
        <w:jc w:val="center"/>
        <w:rPr>
          <w:rFonts w:ascii="Segoe UI" w:hAnsi="Segoe UI" w:cs="Segoe UI"/>
          <w:b/>
          <w:sz w:val="24"/>
          <w:szCs w:val="24"/>
        </w:rPr>
      </w:pPr>
    </w:p>
    <w:p w:rsidR="008A6838" w:rsidRPr="00A63849" w:rsidRDefault="008A6838" w:rsidP="00F67145">
      <w:pPr>
        <w:spacing w:after="0"/>
        <w:jc w:val="center"/>
        <w:rPr>
          <w:rFonts w:ascii="Segoe UI" w:hAnsi="Segoe UI" w:cs="Segoe UI"/>
          <w:b/>
          <w:sz w:val="24"/>
          <w:szCs w:val="24"/>
        </w:rPr>
      </w:pPr>
    </w:p>
    <w:p w:rsidR="008A6838" w:rsidRPr="00A63849" w:rsidRDefault="008A6838" w:rsidP="008A6838">
      <w:pPr>
        <w:spacing w:after="0"/>
        <w:ind w:firstLine="360"/>
        <w:rPr>
          <w:rFonts w:ascii="Segoe UI" w:hAnsi="Segoe UI" w:cs="Segoe UI"/>
          <w:sz w:val="24"/>
          <w:szCs w:val="24"/>
        </w:rPr>
      </w:pPr>
      <w:r w:rsidRPr="00A63849">
        <w:rPr>
          <w:rFonts w:ascii="Segoe UI" w:hAnsi="Segoe UI" w:cs="Segoe UI"/>
          <w:sz w:val="24"/>
          <w:szCs w:val="24"/>
        </w:rPr>
        <w:t xml:space="preserve">                               File No.</w:t>
      </w:r>
      <w:r w:rsidRPr="00A63849">
        <w:rPr>
          <w:rFonts w:ascii="Segoe UI" w:hAnsi="Segoe UI" w:cs="Segoe UI"/>
          <w:sz w:val="24"/>
          <w:szCs w:val="24"/>
        </w:rPr>
        <w:tab/>
      </w:r>
      <w:r w:rsidRPr="00A63849">
        <w:rPr>
          <w:rFonts w:ascii="Segoe UI" w:hAnsi="Segoe UI" w:cs="Segoe UI"/>
          <w:sz w:val="24"/>
          <w:szCs w:val="24"/>
        </w:rPr>
        <w:tab/>
        <w:t xml:space="preserve">                                               Policy No.</w:t>
      </w:r>
    </w:p>
    <w:p w:rsidR="00F67145" w:rsidRPr="00A63849" w:rsidRDefault="00F67145" w:rsidP="00F67145">
      <w:pPr>
        <w:spacing w:after="0"/>
        <w:jc w:val="center"/>
        <w:rPr>
          <w:rFonts w:ascii="Segoe UI" w:hAnsi="Segoe UI" w:cs="Segoe UI"/>
          <w:b/>
          <w:sz w:val="24"/>
          <w:szCs w:val="24"/>
        </w:rPr>
      </w:pPr>
    </w:p>
    <w:p w:rsidR="00F67145" w:rsidRPr="00A63849" w:rsidRDefault="008A6838" w:rsidP="008A6838">
      <w:pPr>
        <w:spacing w:after="0"/>
        <w:ind w:left="450" w:hanging="360"/>
        <w:rPr>
          <w:rFonts w:ascii="Segoe UI" w:hAnsi="Segoe UI" w:cs="Segoe UI"/>
          <w:sz w:val="24"/>
          <w:szCs w:val="24"/>
        </w:rPr>
      </w:pPr>
      <w:r w:rsidRPr="00A63849">
        <w:rPr>
          <w:rFonts w:ascii="Segoe UI" w:hAnsi="Segoe UI" w:cs="Segoe UI"/>
          <w:sz w:val="24"/>
          <w:szCs w:val="24"/>
        </w:rPr>
        <w:t xml:space="preserve">      </w:t>
      </w:r>
      <w:r w:rsidR="00F67145" w:rsidRPr="00A63849">
        <w:rPr>
          <w:rFonts w:ascii="Segoe UI" w:hAnsi="Segoe UI" w:cs="Segoe UI"/>
          <w:sz w:val="24"/>
          <w:szCs w:val="24"/>
        </w:rPr>
        <w:t>EXCEPTIONS</w:t>
      </w:r>
      <w:r w:rsidRPr="00A63849">
        <w:rPr>
          <w:rFonts w:ascii="Segoe UI" w:hAnsi="Segoe UI" w:cs="Segoe UI"/>
          <w:sz w:val="24"/>
          <w:szCs w:val="24"/>
        </w:rPr>
        <w:t xml:space="preserve"> FROM COVERAGE</w:t>
      </w:r>
    </w:p>
    <w:p w:rsidR="008A6838" w:rsidRPr="00A63849" w:rsidRDefault="008A6838" w:rsidP="008A6838">
      <w:pPr>
        <w:spacing w:after="0"/>
        <w:ind w:left="450" w:hanging="450"/>
        <w:rPr>
          <w:rFonts w:ascii="Segoe UI" w:hAnsi="Segoe UI" w:cs="Segoe UI"/>
          <w:b/>
          <w:sz w:val="24"/>
          <w:szCs w:val="24"/>
        </w:rPr>
      </w:pPr>
    </w:p>
    <w:p w:rsidR="008A6838" w:rsidRPr="00A63849" w:rsidRDefault="008A6838" w:rsidP="008A6838">
      <w:pPr>
        <w:spacing w:after="0"/>
        <w:ind w:left="450" w:hanging="450"/>
        <w:rPr>
          <w:rFonts w:ascii="Segoe UI" w:hAnsi="Segoe UI" w:cs="Segoe UI"/>
          <w:sz w:val="24"/>
          <w:szCs w:val="24"/>
        </w:rPr>
      </w:pPr>
      <w:r w:rsidRPr="00A63849">
        <w:rPr>
          <w:rFonts w:ascii="Segoe UI" w:hAnsi="Segoe UI" w:cs="Segoe UI"/>
          <w:b/>
          <w:sz w:val="24"/>
          <w:szCs w:val="24"/>
        </w:rPr>
        <w:tab/>
      </w:r>
      <w:r w:rsidRPr="00A63849">
        <w:rPr>
          <w:rFonts w:ascii="Segoe UI" w:hAnsi="Segoe UI" w:cs="Segoe UI"/>
          <w:sz w:val="24"/>
          <w:szCs w:val="24"/>
        </w:rPr>
        <w:t>This policy does not insure against loss or damage (and the Company will not pay costs, attorney’s fees or expenses) that arise by reason of the terms and conditions of the leases and easements, if any, shown in Schedule A, and the following matters:</w:t>
      </w:r>
    </w:p>
    <w:p w:rsidR="00F67145" w:rsidRPr="00A63849" w:rsidRDefault="00F67145" w:rsidP="00F67145">
      <w:pPr>
        <w:spacing w:after="0"/>
        <w:rPr>
          <w:rFonts w:ascii="Segoe UI" w:hAnsi="Segoe UI" w:cs="Segoe UI"/>
          <w:b/>
          <w:sz w:val="24"/>
          <w:szCs w:val="24"/>
        </w:rPr>
      </w:pPr>
    </w:p>
    <w:p w:rsidR="00F67145" w:rsidRPr="00A63849" w:rsidRDefault="00F67145" w:rsidP="00DD17A7">
      <w:pPr>
        <w:pStyle w:val="ListParagraph"/>
        <w:numPr>
          <w:ilvl w:val="0"/>
          <w:numId w:val="4"/>
        </w:numPr>
        <w:spacing w:after="0"/>
        <w:jc w:val="both"/>
        <w:rPr>
          <w:rFonts w:ascii="Segoe UI" w:hAnsi="Segoe UI" w:cs="Segoe UI"/>
          <w:sz w:val="24"/>
          <w:szCs w:val="24"/>
        </w:rPr>
      </w:pPr>
      <w:r w:rsidRPr="00A63849">
        <w:rPr>
          <w:rFonts w:ascii="Segoe UI" w:hAnsi="Segoe UI" w:cs="Segoe UI"/>
          <w:sz w:val="24"/>
          <w:szCs w:val="24"/>
        </w:rPr>
        <w:t>The following restrictive covena</w:t>
      </w:r>
      <w:r w:rsidR="008A6838" w:rsidRPr="00A63849">
        <w:rPr>
          <w:rFonts w:ascii="Segoe UI" w:hAnsi="Segoe UI" w:cs="Segoe UI"/>
          <w:sz w:val="24"/>
          <w:szCs w:val="24"/>
        </w:rPr>
        <w:t>nts of record itemized below (the Company</w:t>
      </w:r>
      <w:r w:rsidRPr="00A63849">
        <w:rPr>
          <w:rFonts w:ascii="Segoe UI" w:hAnsi="Segoe UI" w:cs="Segoe UI"/>
          <w:sz w:val="24"/>
          <w:szCs w:val="24"/>
        </w:rPr>
        <w:t xml:space="preserve"> must either insert specific</w:t>
      </w:r>
      <w:r w:rsidR="008A6838" w:rsidRPr="00A63849">
        <w:rPr>
          <w:rFonts w:ascii="Segoe UI" w:hAnsi="Segoe UI" w:cs="Segoe UI"/>
          <w:sz w:val="24"/>
          <w:szCs w:val="24"/>
        </w:rPr>
        <w:t xml:space="preserve"> recording</w:t>
      </w:r>
      <w:r w:rsidRPr="00A63849">
        <w:rPr>
          <w:rFonts w:ascii="Segoe UI" w:hAnsi="Segoe UI" w:cs="Segoe UI"/>
          <w:sz w:val="24"/>
          <w:szCs w:val="24"/>
        </w:rPr>
        <w:t xml:space="preserve"> data or delete this exception.</w:t>
      </w:r>
    </w:p>
    <w:p w:rsidR="00F67145" w:rsidRPr="00A63849" w:rsidRDefault="00F67145" w:rsidP="00DD17A7">
      <w:pPr>
        <w:spacing w:after="0"/>
        <w:jc w:val="both"/>
        <w:rPr>
          <w:rFonts w:ascii="Segoe UI" w:hAnsi="Segoe UI" w:cs="Segoe UI"/>
          <w:sz w:val="24"/>
          <w:szCs w:val="24"/>
        </w:rPr>
      </w:pPr>
    </w:p>
    <w:p w:rsidR="00F67145" w:rsidRPr="00A63849" w:rsidRDefault="00F67145" w:rsidP="00DD17A7">
      <w:pPr>
        <w:pStyle w:val="ListParagraph"/>
        <w:numPr>
          <w:ilvl w:val="0"/>
          <w:numId w:val="4"/>
        </w:numPr>
        <w:spacing w:after="0"/>
        <w:jc w:val="both"/>
        <w:rPr>
          <w:rFonts w:ascii="Segoe UI" w:hAnsi="Segoe UI" w:cs="Segoe UI"/>
          <w:sz w:val="24"/>
          <w:szCs w:val="24"/>
        </w:rPr>
      </w:pPr>
      <w:r w:rsidRPr="00A63849">
        <w:rPr>
          <w:rFonts w:ascii="Segoe UI" w:hAnsi="Segoe UI" w:cs="Segoe UI"/>
          <w:sz w:val="24"/>
          <w:szCs w:val="24"/>
        </w:rPr>
        <w:t>Any discrepancies, conflicts, or shortages in area or boundary lines, or any encroachments or protrusions, or any overlapping of improvements.</w:t>
      </w:r>
      <w:r w:rsidR="007938EE" w:rsidRPr="00A63849">
        <w:rPr>
          <w:rFonts w:ascii="Segoe UI" w:hAnsi="Segoe UI" w:cs="Segoe UI"/>
          <w:sz w:val="24"/>
          <w:szCs w:val="24"/>
        </w:rPr>
        <w:t xml:space="preserve"> Covered Risk 2(c) is hereby deleted.</w:t>
      </w:r>
    </w:p>
    <w:p w:rsidR="00F67145" w:rsidRPr="00A63849" w:rsidRDefault="00F67145" w:rsidP="00DD17A7">
      <w:pPr>
        <w:pStyle w:val="ListParagraph"/>
        <w:jc w:val="both"/>
        <w:rPr>
          <w:rFonts w:ascii="Segoe UI" w:hAnsi="Segoe UI" w:cs="Segoe UI"/>
          <w:sz w:val="24"/>
          <w:szCs w:val="24"/>
        </w:rPr>
      </w:pPr>
    </w:p>
    <w:p w:rsidR="00F67145" w:rsidRPr="00A63849" w:rsidRDefault="00F67145" w:rsidP="00DD17A7">
      <w:pPr>
        <w:pStyle w:val="ListParagraph"/>
        <w:numPr>
          <w:ilvl w:val="0"/>
          <w:numId w:val="4"/>
        </w:numPr>
        <w:spacing w:after="0"/>
        <w:jc w:val="both"/>
        <w:rPr>
          <w:rFonts w:ascii="Segoe UI" w:hAnsi="Segoe UI" w:cs="Segoe UI"/>
          <w:sz w:val="24"/>
          <w:szCs w:val="24"/>
        </w:rPr>
      </w:pPr>
      <w:r w:rsidRPr="00A63849">
        <w:rPr>
          <w:rFonts w:ascii="Segoe UI" w:hAnsi="Segoe UI" w:cs="Segoe UI"/>
          <w:sz w:val="24"/>
          <w:szCs w:val="24"/>
        </w:rPr>
        <w:t>Homestead or community property or survivorship rights, if any, of any spouse of any insured. (Applies to the Owner’s Policy only.)</w:t>
      </w:r>
    </w:p>
    <w:p w:rsidR="00F67145" w:rsidRPr="00A63849" w:rsidRDefault="00F67145" w:rsidP="00DD17A7">
      <w:pPr>
        <w:pStyle w:val="ListParagraph"/>
        <w:jc w:val="both"/>
        <w:rPr>
          <w:rFonts w:ascii="Segoe UI" w:hAnsi="Segoe UI" w:cs="Segoe UI"/>
          <w:sz w:val="24"/>
          <w:szCs w:val="24"/>
        </w:rPr>
      </w:pPr>
    </w:p>
    <w:p w:rsidR="00F67145" w:rsidRPr="00A63849" w:rsidRDefault="00F67145" w:rsidP="00DD17A7">
      <w:pPr>
        <w:pStyle w:val="ListParagraph"/>
        <w:numPr>
          <w:ilvl w:val="0"/>
          <w:numId w:val="4"/>
        </w:numPr>
        <w:spacing w:after="0"/>
        <w:jc w:val="both"/>
        <w:rPr>
          <w:rFonts w:ascii="Segoe UI" w:hAnsi="Segoe UI" w:cs="Segoe UI"/>
          <w:sz w:val="24"/>
          <w:szCs w:val="24"/>
        </w:rPr>
      </w:pPr>
      <w:r w:rsidRPr="00A63849">
        <w:rPr>
          <w:rFonts w:ascii="Segoe UI" w:hAnsi="Segoe UI" w:cs="Segoe UI"/>
          <w:sz w:val="24"/>
          <w:szCs w:val="24"/>
        </w:rPr>
        <w:t>Any titles or rights asserted by anyone, including , but not limited to, persons, the public, corporat</w:t>
      </w:r>
      <w:r w:rsidR="00DD17A7" w:rsidRPr="00A63849">
        <w:rPr>
          <w:rFonts w:ascii="Segoe UI" w:hAnsi="Segoe UI" w:cs="Segoe UI"/>
          <w:sz w:val="24"/>
          <w:szCs w:val="24"/>
        </w:rPr>
        <w:t>ions, governments or other entit</w:t>
      </w:r>
      <w:r w:rsidRPr="00A63849">
        <w:rPr>
          <w:rFonts w:ascii="Segoe UI" w:hAnsi="Segoe UI" w:cs="Segoe UI"/>
          <w:sz w:val="24"/>
          <w:szCs w:val="24"/>
        </w:rPr>
        <w:t>ies,</w:t>
      </w:r>
    </w:p>
    <w:p w:rsidR="008A6838" w:rsidRPr="00A63849" w:rsidRDefault="008A6838" w:rsidP="008A6838">
      <w:pPr>
        <w:pStyle w:val="ListParagraph"/>
        <w:rPr>
          <w:rFonts w:ascii="Segoe UI" w:hAnsi="Segoe UI" w:cs="Segoe UI"/>
          <w:sz w:val="24"/>
          <w:szCs w:val="24"/>
        </w:rPr>
      </w:pPr>
    </w:p>
    <w:p w:rsidR="008A6838" w:rsidRPr="00A63849" w:rsidRDefault="0031760A" w:rsidP="008A6838">
      <w:pPr>
        <w:pStyle w:val="ListParagraph"/>
        <w:numPr>
          <w:ilvl w:val="0"/>
          <w:numId w:val="6"/>
        </w:numPr>
        <w:spacing w:after="0"/>
        <w:jc w:val="both"/>
        <w:rPr>
          <w:rFonts w:ascii="Segoe UI" w:hAnsi="Segoe UI" w:cs="Segoe UI"/>
          <w:sz w:val="24"/>
          <w:szCs w:val="24"/>
        </w:rPr>
      </w:pPr>
      <w:r w:rsidRPr="00A63849">
        <w:rPr>
          <w:rFonts w:ascii="Segoe UI" w:hAnsi="Segoe UI" w:cs="Segoe UI"/>
          <w:sz w:val="24"/>
          <w:szCs w:val="24"/>
        </w:rPr>
        <w:t>t</w:t>
      </w:r>
      <w:r w:rsidR="008A6838" w:rsidRPr="00A63849">
        <w:rPr>
          <w:rFonts w:ascii="Segoe UI" w:hAnsi="Segoe UI" w:cs="Segoe UI"/>
          <w:sz w:val="24"/>
          <w:szCs w:val="24"/>
        </w:rPr>
        <w:t>o tidelands, or lands comprising the shores or beds of navigable or perennial rivers and streams, lakes, bays, gulfs or oceans, or</w:t>
      </w:r>
    </w:p>
    <w:p w:rsidR="008A6838" w:rsidRPr="00A63849" w:rsidRDefault="0031760A" w:rsidP="008A6838">
      <w:pPr>
        <w:pStyle w:val="ListParagraph"/>
        <w:numPr>
          <w:ilvl w:val="0"/>
          <w:numId w:val="6"/>
        </w:numPr>
        <w:spacing w:after="0"/>
        <w:jc w:val="both"/>
        <w:rPr>
          <w:rFonts w:ascii="Segoe UI" w:hAnsi="Segoe UI" w:cs="Segoe UI"/>
          <w:sz w:val="24"/>
          <w:szCs w:val="24"/>
        </w:rPr>
      </w:pPr>
      <w:r w:rsidRPr="00A63849">
        <w:rPr>
          <w:rFonts w:ascii="Segoe UI" w:hAnsi="Segoe UI" w:cs="Segoe UI"/>
          <w:sz w:val="24"/>
          <w:szCs w:val="24"/>
        </w:rPr>
        <w:t>to lands beyond the line of the harbor or bulkhead lines as established or changed by any government, or</w:t>
      </w:r>
    </w:p>
    <w:p w:rsidR="0031760A" w:rsidRPr="00A63849" w:rsidRDefault="0031760A" w:rsidP="008A6838">
      <w:pPr>
        <w:pStyle w:val="ListParagraph"/>
        <w:numPr>
          <w:ilvl w:val="0"/>
          <w:numId w:val="6"/>
        </w:numPr>
        <w:spacing w:after="0"/>
        <w:jc w:val="both"/>
        <w:rPr>
          <w:rFonts w:ascii="Segoe UI" w:hAnsi="Segoe UI" w:cs="Segoe UI"/>
          <w:sz w:val="24"/>
          <w:szCs w:val="24"/>
        </w:rPr>
      </w:pPr>
      <w:r w:rsidRPr="00A63849">
        <w:rPr>
          <w:rFonts w:ascii="Segoe UI" w:hAnsi="Segoe UI" w:cs="Segoe UI"/>
          <w:sz w:val="24"/>
          <w:szCs w:val="24"/>
        </w:rPr>
        <w:t>to filled-in lands, or artificial islands, or</w:t>
      </w:r>
    </w:p>
    <w:p w:rsidR="0031760A" w:rsidRPr="00A63849" w:rsidRDefault="0031760A" w:rsidP="008A6838">
      <w:pPr>
        <w:pStyle w:val="ListParagraph"/>
        <w:numPr>
          <w:ilvl w:val="0"/>
          <w:numId w:val="6"/>
        </w:numPr>
        <w:spacing w:after="0"/>
        <w:jc w:val="both"/>
        <w:rPr>
          <w:rFonts w:ascii="Segoe UI" w:hAnsi="Segoe UI" w:cs="Segoe UI"/>
          <w:sz w:val="24"/>
          <w:szCs w:val="24"/>
        </w:rPr>
      </w:pPr>
      <w:r w:rsidRPr="00A63849">
        <w:rPr>
          <w:rFonts w:ascii="Segoe UI" w:hAnsi="Segoe UI" w:cs="Segoe UI"/>
          <w:sz w:val="24"/>
          <w:szCs w:val="24"/>
        </w:rPr>
        <w:t>to statutory water rights, including riparian rights, or</w:t>
      </w:r>
    </w:p>
    <w:p w:rsidR="00F67145" w:rsidRPr="00A63849" w:rsidRDefault="0031760A" w:rsidP="0031760A">
      <w:pPr>
        <w:pStyle w:val="ListParagraph"/>
        <w:numPr>
          <w:ilvl w:val="0"/>
          <w:numId w:val="6"/>
        </w:numPr>
        <w:spacing w:after="0"/>
        <w:jc w:val="both"/>
        <w:rPr>
          <w:rFonts w:ascii="Segoe UI" w:hAnsi="Segoe UI" w:cs="Segoe UI"/>
          <w:sz w:val="24"/>
          <w:szCs w:val="24"/>
        </w:rPr>
      </w:pPr>
      <w:r w:rsidRPr="00A63849">
        <w:rPr>
          <w:rFonts w:ascii="Segoe UI" w:hAnsi="Segoe UI" w:cs="Segoe UI"/>
          <w:sz w:val="24"/>
          <w:szCs w:val="24"/>
        </w:rPr>
        <w:t>to the area extending from the line of mean low tide to the line of vegetation, or the right of access to that area or easement along and across the area.</w:t>
      </w:r>
    </w:p>
    <w:p w:rsidR="00DD17A7" w:rsidRPr="00A63849" w:rsidRDefault="00DD17A7" w:rsidP="00DD17A7">
      <w:pPr>
        <w:pStyle w:val="ListParagraph"/>
        <w:jc w:val="both"/>
        <w:rPr>
          <w:rFonts w:ascii="Segoe UI" w:hAnsi="Segoe UI" w:cs="Segoe UI"/>
          <w:sz w:val="24"/>
          <w:szCs w:val="24"/>
        </w:rPr>
      </w:pPr>
    </w:p>
    <w:p w:rsidR="00DD17A7" w:rsidRPr="00A63849" w:rsidRDefault="00DD17A7" w:rsidP="00DD17A7">
      <w:pPr>
        <w:pStyle w:val="ListParagraph"/>
        <w:numPr>
          <w:ilvl w:val="0"/>
          <w:numId w:val="4"/>
        </w:numPr>
        <w:spacing w:after="0"/>
        <w:jc w:val="both"/>
        <w:rPr>
          <w:rFonts w:ascii="Segoe UI" w:hAnsi="Segoe UI" w:cs="Segoe UI"/>
          <w:sz w:val="24"/>
          <w:szCs w:val="24"/>
        </w:rPr>
      </w:pPr>
      <w:r w:rsidRPr="00A63849">
        <w:rPr>
          <w:rFonts w:ascii="Segoe UI" w:hAnsi="Segoe UI" w:cs="Segoe UI"/>
          <w:sz w:val="24"/>
          <w:szCs w:val="24"/>
        </w:rPr>
        <w:lastRenderedPageBreak/>
        <w:t>Standby fees, taxes and assessments by any taxing authority for the year _____, and subsequent years: and subsequent taxes and assessments by any taxing authority for prior years due to change in land usage or ownership, but not those taxes or assessments for prior years because of an exemption granted to a previous owner of the property under Section 11.13, Texas Tax Code, or because of improvements not assessed for a previous tax year.</w:t>
      </w:r>
    </w:p>
    <w:p w:rsidR="00DD17A7" w:rsidRPr="00A63849" w:rsidRDefault="00DD17A7" w:rsidP="00DD17A7">
      <w:pPr>
        <w:pStyle w:val="ListParagraph"/>
        <w:spacing w:after="0"/>
        <w:jc w:val="both"/>
        <w:rPr>
          <w:rFonts w:ascii="Segoe UI" w:hAnsi="Segoe UI" w:cs="Segoe UI"/>
          <w:sz w:val="24"/>
          <w:szCs w:val="24"/>
        </w:rPr>
      </w:pPr>
    </w:p>
    <w:p w:rsidR="00DD17A7" w:rsidRPr="00A63849" w:rsidRDefault="00DD17A7" w:rsidP="00DD17A7">
      <w:pPr>
        <w:pStyle w:val="ListParagraph"/>
        <w:numPr>
          <w:ilvl w:val="0"/>
          <w:numId w:val="4"/>
        </w:numPr>
        <w:spacing w:after="0"/>
        <w:jc w:val="both"/>
        <w:rPr>
          <w:rFonts w:ascii="Segoe UI" w:hAnsi="Segoe UI" w:cs="Segoe UI"/>
          <w:sz w:val="24"/>
          <w:szCs w:val="24"/>
        </w:rPr>
      </w:pPr>
      <w:r w:rsidRPr="00A63849">
        <w:rPr>
          <w:rFonts w:ascii="Segoe UI" w:hAnsi="Segoe UI" w:cs="Segoe UI"/>
          <w:sz w:val="24"/>
          <w:szCs w:val="24"/>
        </w:rPr>
        <w:t>The following matters and terms of the documents creating or offe</w:t>
      </w:r>
      <w:r w:rsidR="0031760A" w:rsidRPr="00A63849">
        <w:rPr>
          <w:rFonts w:ascii="Segoe UI" w:hAnsi="Segoe UI" w:cs="Segoe UI"/>
          <w:sz w:val="24"/>
          <w:szCs w:val="24"/>
        </w:rPr>
        <w:t>ring evidence of the matters (The Company</w:t>
      </w:r>
      <w:r w:rsidRPr="00A63849">
        <w:rPr>
          <w:rFonts w:ascii="Segoe UI" w:hAnsi="Segoe UI" w:cs="Segoe UI"/>
          <w:sz w:val="24"/>
          <w:szCs w:val="24"/>
        </w:rPr>
        <w:t xml:space="preserve"> must insert matters or delete this exception.):</w:t>
      </w:r>
    </w:p>
    <w:p w:rsidR="00F67145" w:rsidRPr="00A63849" w:rsidRDefault="00F67145" w:rsidP="00F67145">
      <w:pPr>
        <w:spacing w:after="0"/>
        <w:rPr>
          <w:rFonts w:ascii="Segoe UI" w:hAnsi="Segoe UI" w:cs="Segoe UI"/>
          <w:b/>
          <w:sz w:val="24"/>
          <w:szCs w:val="24"/>
        </w:rPr>
      </w:pPr>
    </w:p>
    <w:p w:rsidR="00F67145" w:rsidRPr="00A63849" w:rsidRDefault="00F67145" w:rsidP="00F67145">
      <w:pPr>
        <w:spacing w:after="0"/>
        <w:rPr>
          <w:rFonts w:ascii="Segoe UI" w:hAnsi="Segoe UI" w:cs="Segoe UI"/>
          <w:b/>
          <w:sz w:val="24"/>
          <w:szCs w:val="24"/>
        </w:rPr>
      </w:pPr>
    </w:p>
    <w:p w:rsidR="00F67145" w:rsidRPr="00A63849" w:rsidRDefault="00F67145" w:rsidP="00F67145">
      <w:pPr>
        <w:rPr>
          <w:rFonts w:ascii="Segoe UI" w:hAnsi="Segoe UI" w:cs="Segoe UI"/>
          <w:sz w:val="24"/>
          <w:szCs w:val="24"/>
        </w:rPr>
      </w:pPr>
    </w:p>
    <w:p w:rsidR="00F67145" w:rsidRPr="00F67145" w:rsidRDefault="00F67145" w:rsidP="00F67145">
      <w:pPr>
        <w:rPr>
          <w:rFonts w:ascii="Arial" w:hAnsi="Arial" w:cs="Arial"/>
          <w:sz w:val="20"/>
          <w:szCs w:val="20"/>
        </w:rPr>
      </w:pPr>
    </w:p>
    <w:p w:rsidR="00F67145" w:rsidRPr="00F67145" w:rsidRDefault="00F67145" w:rsidP="00F67145">
      <w:pPr>
        <w:rPr>
          <w:rFonts w:ascii="Arial" w:hAnsi="Arial" w:cs="Arial"/>
          <w:sz w:val="20"/>
          <w:szCs w:val="20"/>
        </w:rPr>
      </w:pPr>
    </w:p>
    <w:sectPr w:rsidR="00F67145" w:rsidRPr="00F671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6C5" w:rsidRDefault="00F036C5" w:rsidP="00F67145">
      <w:pPr>
        <w:spacing w:after="0" w:line="240" w:lineRule="auto"/>
      </w:pPr>
      <w:r>
        <w:separator/>
      </w:r>
    </w:p>
  </w:endnote>
  <w:endnote w:type="continuationSeparator" w:id="0">
    <w:p w:rsidR="00F036C5" w:rsidRDefault="00F036C5" w:rsidP="00F6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AA" w:rsidRDefault="007A7C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45" w:rsidRPr="00A63849" w:rsidRDefault="007A7CAA">
    <w:pPr>
      <w:pStyle w:val="Footer"/>
      <w:rPr>
        <w:rFonts w:ascii="Segoe UI" w:hAnsi="Segoe UI" w:cs="Segoe UI"/>
        <w:sz w:val="24"/>
        <w:szCs w:val="24"/>
      </w:rPr>
    </w:pPr>
    <w:bookmarkStart w:id="0" w:name="_GoBack"/>
    <w:r w:rsidRPr="00A63849">
      <w:rPr>
        <w:rFonts w:ascii="Segoe UI" w:hAnsi="Segoe UI" w:cs="Segoe UI"/>
        <w:sz w:val="24"/>
        <w:szCs w:val="24"/>
      </w:rPr>
      <w:t>Texas Form T-1</w:t>
    </w:r>
    <w:r w:rsidR="00F67145" w:rsidRPr="00A63849">
      <w:rPr>
        <w:rFonts w:ascii="Segoe UI" w:hAnsi="Segoe UI" w:cs="Segoe UI"/>
        <w:sz w:val="24"/>
        <w:szCs w:val="24"/>
      </w:rPr>
      <w:t xml:space="preserve">: Owner’s Policy of Title Insurance Schedule B </w:t>
    </w:r>
    <w:r w:rsidR="007938EE" w:rsidRPr="00A63849">
      <w:rPr>
        <w:rFonts w:ascii="Segoe UI" w:hAnsi="Segoe UI" w:cs="Segoe UI"/>
        <w:sz w:val="24"/>
        <w:szCs w:val="24"/>
      </w:rPr>
      <w:t>11-1-2024</w:t>
    </w:r>
  </w:p>
  <w:p w:rsidR="00F67145" w:rsidRPr="00A63849" w:rsidRDefault="007A7CAA">
    <w:pPr>
      <w:pStyle w:val="Footer"/>
      <w:rPr>
        <w:rFonts w:ascii="Segoe UI" w:hAnsi="Segoe UI" w:cs="Segoe UI"/>
        <w:sz w:val="24"/>
        <w:szCs w:val="24"/>
      </w:rPr>
    </w:pPr>
    <w:r w:rsidRPr="00A63849">
      <w:rPr>
        <w:rFonts w:ascii="Segoe UI" w:hAnsi="Segoe UI" w:cs="Segoe UI"/>
        <w:sz w:val="24"/>
        <w:szCs w:val="24"/>
      </w:rPr>
      <w:t xml:space="preserve">WFG National Form No </w:t>
    </w:r>
    <w:r w:rsidR="0004296F" w:rsidRPr="00A63849">
      <w:rPr>
        <w:rFonts w:ascii="Segoe UI" w:hAnsi="Segoe UI" w:cs="Segoe UI"/>
        <w:sz w:val="24"/>
        <w:szCs w:val="24"/>
      </w:rPr>
      <w:t>3181348-B</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AA" w:rsidRDefault="007A7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6C5" w:rsidRDefault="00F036C5" w:rsidP="00F67145">
      <w:pPr>
        <w:spacing w:after="0" w:line="240" w:lineRule="auto"/>
      </w:pPr>
      <w:r>
        <w:separator/>
      </w:r>
    </w:p>
  </w:footnote>
  <w:footnote w:type="continuationSeparator" w:id="0">
    <w:p w:rsidR="00F036C5" w:rsidRDefault="00F036C5" w:rsidP="00F67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AA" w:rsidRDefault="007A7C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45" w:rsidRDefault="00F67145" w:rsidP="00DD17A7">
    <w:pPr>
      <w:pStyle w:val="Header"/>
      <w:jc w:val="center"/>
    </w:pPr>
    <w:r>
      <w:rPr>
        <w:noProof/>
      </w:rPr>
      <w:drawing>
        <wp:inline distT="0" distB="0" distL="0" distR="0" wp14:anchorId="73A460FB" wp14:editId="4318BA9D">
          <wp:extent cx="2413000" cy="622300"/>
          <wp:effectExtent l="0" t="0" r="6350" b="6350"/>
          <wp:docPr id="3" name="Picture 3" descr="WFG NTIC_logo"/>
          <wp:cNvGraphicFramePr/>
          <a:graphic xmlns:a="http://schemas.openxmlformats.org/drawingml/2006/main">
            <a:graphicData uri="http://schemas.openxmlformats.org/drawingml/2006/picture">
              <pic:pic xmlns:pic="http://schemas.openxmlformats.org/drawingml/2006/picture">
                <pic:nvPicPr>
                  <pic:cNvPr id="3" name="Picture 3" descr="WFG NTIC_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6223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AA" w:rsidRDefault="007A7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E0DBC"/>
    <w:multiLevelType w:val="hybridMultilevel"/>
    <w:tmpl w:val="4BC06E40"/>
    <w:lvl w:ilvl="0" w:tplc="5D96AA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C447AF"/>
    <w:multiLevelType w:val="hybridMultilevel"/>
    <w:tmpl w:val="3EEAED78"/>
    <w:lvl w:ilvl="0" w:tplc="6E2869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BB481B"/>
    <w:multiLevelType w:val="hybridMultilevel"/>
    <w:tmpl w:val="B9741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A71A18"/>
    <w:multiLevelType w:val="hybridMultilevel"/>
    <w:tmpl w:val="99D2794E"/>
    <w:lvl w:ilvl="0" w:tplc="E1BC7D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2AC2647"/>
    <w:multiLevelType w:val="multilevel"/>
    <w:tmpl w:val="6AB89D5A"/>
    <w:lvl w:ilvl="0">
      <w:start w:val="1"/>
      <w:numFmt w:val="decimal"/>
      <w:pStyle w:val="Styl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7530134"/>
    <w:multiLevelType w:val="hybridMultilevel"/>
    <w:tmpl w:val="9E1045E0"/>
    <w:lvl w:ilvl="0" w:tplc="3B9423C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45"/>
    <w:rsid w:val="0004296F"/>
    <w:rsid w:val="000F1C63"/>
    <w:rsid w:val="001606F8"/>
    <w:rsid w:val="0031760A"/>
    <w:rsid w:val="005A36A7"/>
    <w:rsid w:val="005C7981"/>
    <w:rsid w:val="00745AFD"/>
    <w:rsid w:val="00775EB5"/>
    <w:rsid w:val="007938EE"/>
    <w:rsid w:val="007A7CAA"/>
    <w:rsid w:val="008A6838"/>
    <w:rsid w:val="00A230EE"/>
    <w:rsid w:val="00A63849"/>
    <w:rsid w:val="00DD17A7"/>
    <w:rsid w:val="00DF0C47"/>
    <w:rsid w:val="00EF4E6E"/>
    <w:rsid w:val="00F036C5"/>
    <w:rsid w:val="00F6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624EE-5B01-42D7-AA91-6E6DEA71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link w:val="Style3Char"/>
    <w:autoRedefine/>
    <w:qFormat/>
    <w:rsid w:val="00EF4E6E"/>
    <w:pPr>
      <w:numPr>
        <w:numId w:val="3"/>
      </w:numPr>
      <w:spacing w:after="0" w:line="240" w:lineRule="auto"/>
      <w:ind w:left="1800" w:hanging="360"/>
    </w:pPr>
    <w:rPr>
      <w:rFonts w:ascii="Arial" w:hAnsi="Arial" w:cs="Times New Roman"/>
    </w:rPr>
  </w:style>
  <w:style w:type="character" w:customStyle="1" w:styleId="Style3Char">
    <w:name w:val="Style3 Char"/>
    <w:basedOn w:val="DefaultParagraphFont"/>
    <w:link w:val="Style3"/>
    <w:rsid w:val="00EF4E6E"/>
    <w:rPr>
      <w:rFonts w:ascii="Arial" w:hAnsi="Arial" w:cs="Times New Roman"/>
    </w:rPr>
  </w:style>
  <w:style w:type="paragraph" w:styleId="Header">
    <w:name w:val="header"/>
    <w:basedOn w:val="Normal"/>
    <w:link w:val="HeaderChar"/>
    <w:uiPriority w:val="99"/>
    <w:unhideWhenUsed/>
    <w:rsid w:val="00F67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145"/>
  </w:style>
  <w:style w:type="paragraph" w:styleId="Footer">
    <w:name w:val="footer"/>
    <w:basedOn w:val="Normal"/>
    <w:link w:val="FooterChar"/>
    <w:uiPriority w:val="99"/>
    <w:unhideWhenUsed/>
    <w:rsid w:val="00F67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145"/>
  </w:style>
  <w:style w:type="paragraph" w:styleId="ListParagraph">
    <w:name w:val="List Paragraph"/>
    <w:basedOn w:val="Normal"/>
    <w:uiPriority w:val="34"/>
    <w:qFormat/>
    <w:rsid w:val="00F67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5</cp:revision>
  <dcterms:created xsi:type="dcterms:W3CDTF">2024-10-21T19:34:00Z</dcterms:created>
  <dcterms:modified xsi:type="dcterms:W3CDTF">2024-10-29T19:56:00Z</dcterms:modified>
</cp:coreProperties>
</file>